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86D" w:rsidRDefault="0024086D" w:rsidP="0024086D">
      <w:pPr>
        <w:jc w:val="center"/>
        <w:rPr>
          <w:rFonts w:ascii="Times New Roman" w:hAnsi="Times New Roman"/>
          <w:b/>
          <w:sz w:val="28"/>
          <w:szCs w:val="28"/>
        </w:rPr>
      </w:pPr>
      <w:bookmarkStart w:id="0" w:name="6427D1E4A3324CFC92F67857E5FC6CE2"/>
      <w:r w:rsidRPr="00B24B00">
        <w:rPr>
          <w:rFonts w:ascii="Times New Roman" w:hAnsi="Times New Roman"/>
          <w:b/>
          <w:sz w:val="28"/>
          <w:szCs w:val="28"/>
        </w:rPr>
        <w:t>Stevenson University Catalog Addendum</w:t>
      </w:r>
    </w:p>
    <w:p w:rsidR="0024086D" w:rsidRPr="00B24B00" w:rsidRDefault="0024086D" w:rsidP="0024086D">
      <w:pPr>
        <w:jc w:val="center"/>
        <w:rPr>
          <w:rFonts w:ascii="Times New Roman" w:hAnsi="Times New Roman"/>
          <w:sz w:val="24"/>
        </w:rPr>
      </w:pPr>
      <w:r w:rsidRPr="00B24B00">
        <w:rPr>
          <w:rFonts w:ascii="Times New Roman" w:hAnsi="Times New Roman"/>
          <w:sz w:val="24"/>
        </w:rPr>
        <w:t>202</w:t>
      </w:r>
      <w:r>
        <w:rPr>
          <w:rFonts w:ascii="Times New Roman" w:hAnsi="Times New Roman"/>
          <w:sz w:val="24"/>
        </w:rPr>
        <w:t>5</w:t>
      </w:r>
      <w:r w:rsidRPr="00B24B00">
        <w:rPr>
          <w:rFonts w:ascii="Times New Roman" w:hAnsi="Times New Roman"/>
          <w:sz w:val="24"/>
        </w:rPr>
        <w:t>-202</w:t>
      </w:r>
      <w:r>
        <w:rPr>
          <w:rFonts w:ascii="Times New Roman" w:hAnsi="Times New Roman"/>
          <w:sz w:val="24"/>
        </w:rPr>
        <w:t>6</w:t>
      </w:r>
      <w:r w:rsidRPr="00B24B00">
        <w:rPr>
          <w:rFonts w:ascii="Times New Roman" w:hAnsi="Times New Roman"/>
          <w:sz w:val="24"/>
        </w:rPr>
        <w:t xml:space="preserve"> </w:t>
      </w:r>
      <w:r>
        <w:rPr>
          <w:rFonts w:ascii="Times New Roman" w:hAnsi="Times New Roman"/>
          <w:sz w:val="24"/>
        </w:rPr>
        <w:t xml:space="preserve">Graduate </w:t>
      </w:r>
      <w:r w:rsidRPr="00B24B00">
        <w:rPr>
          <w:rFonts w:ascii="Times New Roman" w:hAnsi="Times New Roman"/>
          <w:sz w:val="24"/>
        </w:rPr>
        <w:t>Catalog</w:t>
      </w:r>
    </w:p>
    <w:p w:rsidR="0024086D" w:rsidRDefault="0024086D" w:rsidP="0024086D">
      <w:pPr>
        <w:rPr>
          <w:rFonts w:ascii="Times New Roman" w:hAnsi="Times New Roman"/>
          <w:sz w:val="32"/>
          <w:szCs w:val="32"/>
        </w:rPr>
      </w:pPr>
    </w:p>
    <w:p w:rsidR="0024086D" w:rsidRDefault="0024086D" w:rsidP="0024086D">
      <w:pPr>
        <w:rPr>
          <w:rFonts w:ascii="Times New Roman" w:hAnsi="Times New Roman"/>
          <w:sz w:val="32"/>
          <w:szCs w:val="32"/>
        </w:rPr>
      </w:pPr>
    </w:p>
    <w:p w:rsidR="00075D3C" w:rsidRDefault="00075D3C" w:rsidP="0024086D">
      <w:pPr>
        <w:jc w:val="center"/>
        <w:rPr>
          <w:rFonts w:ascii="Times New Roman" w:hAnsi="Times New Roman"/>
          <w:b/>
          <w:sz w:val="24"/>
        </w:rPr>
      </w:pPr>
    </w:p>
    <w:p w:rsidR="0024086D" w:rsidRPr="00B24B00" w:rsidRDefault="0024086D" w:rsidP="0024086D">
      <w:pPr>
        <w:jc w:val="center"/>
        <w:rPr>
          <w:rFonts w:ascii="Times New Roman" w:hAnsi="Times New Roman"/>
          <w:b/>
          <w:sz w:val="24"/>
        </w:rPr>
      </w:pPr>
      <w:r w:rsidRPr="00B24B00">
        <w:rPr>
          <w:rFonts w:ascii="Times New Roman" w:hAnsi="Times New Roman"/>
          <w:b/>
          <w:sz w:val="24"/>
        </w:rPr>
        <w:t>202</w:t>
      </w:r>
      <w:r>
        <w:rPr>
          <w:rFonts w:ascii="Times New Roman" w:hAnsi="Times New Roman"/>
          <w:b/>
          <w:sz w:val="24"/>
        </w:rPr>
        <w:t>5</w:t>
      </w:r>
      <w:r w:rsidRPr="00B24B00">
        <w:rPr>
          <w:rFonts w:ascii="Times New Roman" w:hAnsi="Times New Roman"/>
          <w:b/>
          <w:sz w:val="24"/>
        </w:rPr>
        <w:t>-202</w:t>
      </w:r>
      <w:r>
        <w:rPr>
          <w:rFonts w:ascii="Times New Roman" w:hAnsi="Times New Roman"/>
          <w:b/>
          <w:sz w:val="24"/>
        </w:rPr>
        <w:t>6</w:t>
      </w:r>
      <w:r w:rsidRPr="00B24B00">
        <w:rPr>
          <w:rFonts w:ascii="Times New Roman" w:hAnsi="Times New Roman"/>
          <w:b/>
          <w:sz w:val="24"/>
        </w:rPr>
        <w:t xml:space="preserve"> </w:t>
      </w:r>
      <w:r>
        <w:rPr>
          <w:rFonts w:ascii="Times New Roman" w:hAnsi="Times New Roman"/>
          <w:b/>
          <w:sz w:val="24"/>
        </w:rPr>
        <w:t>G</w:t>
      </w:r>
      <w:r w:rsidRPr="00B24B00">
        <w:rPr>
          <w:rFonts w:ascii="Times New Roman" w:hAnsi="Times New Roman"/>
          <w:b/>
          <w:sz w:val="24"/>
        </w:rPr>
        <w:t>raduate Catalog</w:t>
      </w:r>
    </w:p>
    <w:p w:rsidR="0024086D" w:rsidRDefault="0024086D" w:rsidP="0024086D">
      <w:pPr>
        <w:pStyle w:val="Heading1"/>
      </w:pPr>
      <w:r>
        <w:t>Cybersecurity and Digital Forensics</w:t>
      </w:r>
    </w:p>
    <w:p w:rsidR="0024086D" w:rsidRDefault="0024086D" w:rsidP="0024086D">
      <w:pPr>
        <w:rPr>
          <w:rFonts w:ascii="Times New Roman" w:hAnsi="Times New Roman"/>
          <w:sz w:val="24"/>
        </w:rPr>
      </w:pPr>
      <w:bookmarkStart w:id="1" w:name="_GoBack"/>
      <w:bookmarkEnd w:id="1"/>
      <w:r w:rsidRPr="00400B64">
        <w:rPr>
          <w:rFonts w:ascii="Times New Roman" w:hAnsi="Times New Roman"/>
          <w:sz w:val="24"/>
        </w:rPr>
        <w:t>Link to 202</w:t>
      </w:r>
      <w:r>
        <w:rPr>
          <w:rFonts w:ascii="Times New Roman" w:hAnsi="Times New Roman"/>
          <w:sz w:val="24"/>
        </w:rPr>
        <w:t>5</w:t>
      </w:r>
      <w:r w:rsidRPr="00400B64">
        <w:rPr>
          <w:rFonts w:ascii="Times New Roman" w:hAnsi="Times New Roman"/>
          <w:sz w:val="24"/>
        </w:rPr>
        <w:t>-202</w:t>
      </w:r>
      <w:r>
        <w:rPr>
          <w:rFonts w:ascii="Times New Roman" w:hAnsi="Times New Roman"/>
          <w:sz w:val="24"/>
        </w:rPr>
        <w:t>6</w:t>
      </w:r>
      <w:r w:rsidRPr="00400B64">
        <w:rPr>
          <w:rFonts w:ascii="Times New Roman" w:hAnsi="Times New Roman"/>
          <w:sz w:val="24"/>
        </w:rPr>
        <w:t xml:space="preserve"> Graduate Catalog</w:t>
      </w:r>
    </w:p>
    <w:p w:rsidR="00075D3C" w:rsidRDefault="00075D3C" w:rsidP="0024086D">
      <w:pPr>
        <w:rPr>
          <w:rFonts w:ascii="Times New Roman" w:hAnsi="Times New Roman"/>
          <w:sz w:val="24"/>
        </w:rPr>
      </w:pPr>
    </w:p>
    <w:p w:rsidR="00086C93" w:rsidRPr="0024086D" w:rsidRDefault="0024086D" w:rsidP="00086C93">
      <w:pPr>
        <w:pStyle w:val="sc-AwardHeading"/>
        <w:rPr>
          <w:rFonts w:asciiTheme="minorHAnsi" w:hAnsiTheme="minorHAnsi" w:cstheme="minorHAnsi"/>
          <w:b w:val="0"/>
          <w:sz w:val="24"/>
          <w:szCs w:val="24"/>
        </w:rPr>
      </w:pPr>
      <w:hyperlink r:id="rId4" w:history="1">
        <w:r w:rsidRPr="0024086D">
          <w:rPr>
            <w:rStyle w:val="Hyperlink"/>
            <w:rFonts w:asciiTheme="minorHAnsi" w:hAnsiTheme="minorHAnsi" w:cstheme="minorHAnsi"/>
            <w:b w:val="0"/>
            <w:sz w:val="24"/>
            <w:szCs w:val="24"/>
          </w:rPr>
          <w:t>https://stevenson.smartcatalogiq.com/2025-2026/stevenson-university-undergraduate-catalog/fields-of-study/cybersecurity-and-digital-forensics</w:t>
        </w:r>
      </w:hyperlink>
    </w:p>
    <w:p w:rsidR="0024086D" w:rsidRPr="0024086D" w:rsidRDefault="0024086D" w:rsidP="00086C93">
      <w:pPr>
        <w:pStyle w:val="sc-AwardHeading"/>
        <w:rPr>
          <w:rFonts w:asciiTheme="minorHAnsi" w:hAnsiTheme="minorHAnsi" w:cstheme="minorHAnsi"/>
          <w:sz w:val="24"/>
          <w:szCs w:val="24"/>
        </w:rPr>
      </w:pPr>
    </w:p>
    <w:p w:rsidR="00086C93" w:rsidRDefault="00086C93" w:rsidP="00086C93">
      <w:pPr>
        <w:pStyle w:val="sc-AwardHeading"/>
      </w:pPr>
      <w:r>
        <w:t>Cybersecurity and Digital Forensics</w:t>
      </w:r>
      <w:bookmarkEnd w:id="0"/>
      <w:r>
        <w:fldChar w:fldCharType="begin"/>
      </w:r>
      <w:r>
        <w:instrText xml:space="preserve"> XE "Cybersecurity and Digital Forensics" </w:instrText>
      </w:r>
      <w:r>
        <w:fldChar w:fldCharType="end"/>
      </w:r>
    </w:p>
    <w:p w:rsidR="00086C93" w:rsidRDefault="00086C93" w:rsidP="00086C93">
      <w:pPr>
        <w:pStyle w:val="sc-RequirementsHeading"/>
      </w:pPr>
      <w:bookmarkStart w:id="2" w:name="DEC5DA1053D54592AA7AC459CA699AC8"/>
      <w:r>
        <w:t>Description</w:t>
      </w:r>
      <w:bookmarkEnd w:id="2"/>
    </w:p>
    <w:p w:rsidR="00086C93" w:rsidRDefault="00086C93" w:rsidP="00086C93">
      <w:pPr>
        <w:pStyle w:val="sc-BodyText"/>
      </w:pPr>
      <w:r>
        <w:t>The Master of Science in Cybersecurity and Digital Forensics will prepare students with a well-rounded, in-depth knowledge of forensic tools and techniques, as well as provide opportunities to enhance specialized skillsets in areas such as network and cloud forensics, e-discovery, incident response and penetration testing. Students in this program will use current techniques and tools to detect, investigate, analyze, preserve, interpret, document and present digital evidence. Relevant legal and theoretical topics are covered to ensure students have a holistic understanding of the environment in which they will work.</w:t>
      </w:r>
    </w:p>
    <w:p w:rsidR="00086C93" w:rsidRDefault="00086C93" w:rsidP="00086C93">
      <w:pPr>
        <w:pStyle w:val="sc-RequirementsHeading"/>
      </w:pPr>
      <w:bookmarkStart w:id="3" w:name="C1AFFC380A7240438557B211D254C98C"/>
      <w:r>
        <w:t>Outcomes</w:t>
      </w:r>
      <w:bookmarkEnd w:id="3"/>
    </w:p>
    <w:p w:rsidR="00086C93" w:rsidRDefault="00086C93" w:rsidP="00086C93">
      <w:pPr>
        <w:pStyle w:val="sc-BodyText"/>
      </w:pPr>
      <w:r>
        <w:t>Upon completion of the Master of Science in Cybersecurity and Digital Forensics, graduates will be able to:</w:t>
      </w:r>
    </w:p>
    <w:p w:rsidR="00086C93" w:rsidRDefault="00086C93" w:rsidP="00086C93">
      <w:pPr>
        <w:pStyle w:val="sc-List-1"/>
      </w:pPr>
      <w:r>
        <w:t>1.</w:t>
      </w:r>
      <w:r>
        <w:tab/>
        <w:t>Interpret and apply the applicable laws and statutes that govern cyber security.</w:t>
      </w:r>
    </w:p>
    <w:p w:rsidR="00086C93" w:rsidRDefault="00086C93" w:rsidP="00086C93">
      <w:pPr>
        <w:pStyle w:val="sc-List-1"/>
      </w:pPr>
      <w:r>
        <w:t>2.</w:t>
      </w:r>
      <w:r>
        <w:tab/>
        <w:t>Collect and preserve digital evidence (including volatile data and network data) during a computer forensic examination in a forensically sound manner.</w:t>
      </w:r>
    </w:p>
    <w:p w:rsidR="00086C93" w:rsidRDefault="00086C93" w:rsidP="00086C93">
      <w:pPr>
        <w:pStyle w:val="sc-List-1"/>
      </w:pPr>
      <w:r>
        <w:t>3.</w:t>
      </w:r>
      <w:r>
        <w:tab/>
        <w:t>Select the appropriate tools to analyze, interpret, and recover operating system, application, and registry data, as well as other relevant artifacts.</w:t>
      </w:r>
    </w:p>
    <w:p w:rsidR="00086C93" w:rsidRDefault="00086C93" w:rsidP="00086C93">
      <w:pPr>
        <w:pStyle w:val="sc-List-1"/>
      </w:pPr>
      <w:r>
        <w:t>4.</w:t>
      </w:r>
      <w:r>
        <w:tab/>
        <w:t>Identify attack vectors and vulnerabilities, including advanced persistent threats (APTs) in order to proactively identify vulnerabilities as well as propose appropriate defenses to exploitation.</w:t>
      </w:r>
    </w:p>
    <w:p w:rsidR="00086C93" w:rsidRDefault="00086C93" w:rsidP="00086C93">
      <w:pPr>
        <w:pStyle w:val="sc-List-1"/>
      </w:pPr>
      <w:r>
        <w:t>5.</w:t>
      </w:r>
      <w:r>
        <w:tab/>
        <w:t>Analyze information systems for signs of compromise and identify data that has been exfiltrated from those systems.</w:t>
      </w:r>
    </w:p>
    <w:p w:rsidR="00086C93" w:rsidRDefault="00086C93" w:rsidP="00086C93">
      <w:pPr>
        <w:pStyle w:val="sc-List-1"/>
      </w:pPr>
      <w:r>
        <w:t>6.</w:t>
      </w:r>
      <w:r>
        <w:tab/>
        <w:t>Produce a professional forensic report that articulates the methodology used for the collection, handling, analysis, and preservation of digital evidence and asserts appropriate conclusions and recommendations.</w:t>
      </w:r>
    </w:p>
    <w:p w:rsidR="00086C93" w:rsidRDefault="00086C93" w:rsidP="00086C93">
      <w:pPr>
        <w:pStyle w:val="sc-List-1"/>
      </w:pPr>
      <w:r>
        <w:t>7.</w:t>
      </w:r>
      <w:r>
        <w:tab/>
        <w:t>Present an oral defense of forensic findings.</w:t>
      </w:r>
    </w:p>
    <w:p w:rsidR="00086C93" w:rsidRDefault="00086C93" w:rsidP="00086C93">
      <w:pPr>
        <w:pStyle w:val="sc-RequirementsHeading"/>
      </w:pPr>
      <w:bookmarkStart w:id="4" w:name="1C511D119DD74DD196B32F51D74E1B0B"/>
      <w:r>
        <w:t>Prerequisite Requirements</w:t>
      </w:r>
      <w:bookmarkEnd w:id="4"/>
    </w:p>
    <w:p w:rsidR="00086C93" w:rsidRDefault="00086C93" w:rsidP="00086C93">
      <w:pPr>
        <w:pStyle w:val="sc-BodyText"/>
      </w:pPr>
      <w:r>
        <w:t>Students who wish to enter the master's program in cybersecurity and digital forensics must meet </w:t>
      </w:r>
      <w:r>
        <w:rPr>
          <w:b/>
        </w:rPr>
        <w:t>one</w:t>
      </w:r>
      <w:r>
        <w:t> of the following admissions prerequisite requirements:</w:t>
      </w:r>
    </w:p>
    <w:p w:rsidR="00086C93" w:rsidRDefault="00086C93" w:rsidP="00086C93">
      <w:pPr>
        <w:pStyle w:val="sc-List-1"/>
      </w:pPr>
      <w:r>
        <w:t>•</w:t>
      </w:r>
      <w:r>
        <w:tab/>
        <w:t>Bachelor's degree from an accredited institution in a related field (information assurance, computer science, network administration or computer security) and at least two years of related work experience. </w:t>
      </w:r>
    </w:p>
    <w:p w:rsidR="00086C93" w:rsidRDefault="00086C93" w:rsidP="00086C93">
      <w:pPr>
        <w:pStyle w:val="sc-List-1"/>
      </w:pPr>
      <w:r>
        <w:t>•</w:t>
      </w:r>
      <w:r>
        <w:tab/>
        <w:t>Bachelor's degree from an accredited institution in an unrelated field and at least five years of experience in information technology, telecommunication systems, system administration, network management, cybersecurity, digital forensics or information assurance.</w:t>
      </w:r>
    </w:p>
    <w:p w:rsidR="00086C93" w:rsidRDefault="00086C93" w:rsidP="00086C93">
      <w:pPr>
        <w:pStyle w:val="sc-RequirementsHeading"/>
      </w:pPr>
      <w:bookmarkStart w:id="5" w:name="39E04B58690541EA9877AB6AD2834B6B"/>
      <w:r>
        <w:lastRenderedPageBreak/>
        <w:t>Requirements</w:t>
      </w:r>
      <w:bookmarkEnd w:id="5"/>
    </w:p>
    <w:p w:rsidR="00086C93" w:rsidRDefault="00086C93" w:rsidP="00086C93">
      <w:pPr>
        <w:pStyle w:val="sc-RequirementsSubheading"/>
      </w:pPr>
      <w:bookmarkStart w:id="6" w:name="EF718825F27C4ABAB496969833420295"/>
      <w:r>
        <w:t>Required Courses</w:t>
      </w:r>
      <w:bookmarkEnd w:id="6"/>
    </w:p>
    <w:tbl>
      <w:tblPr>
        <w:tblW w:w="0" w:type="auto"/>
        <w:tblLook w:val="04A0" w:firstRow="1" w:lastRow="0" w:firstColumn="1" w:lastColumn="0" w:noHBand="0" w:noVBand="1"/>
      </w:tblPr>
      <w:tblGrid>
        <w:gridCol w:w="1500"/>
        <w:gridCol w:w="4000"/>
        <w:gridCol w:w="500"/>
      </w:tblGrid>
      <w:tr w:rsidR="00086C93" w:rsidTr="009E36D1">
        <w:tc>
          <w:tcPr>
            <w:tcW w:w="1500" w:type="dxa"/>
          </w:tcPr>
          <w:p w:rsidR="00086C93" w:rsidRDefault="00086C93" w:rsidP="009E36D1">
            <w:pPr>
              <w:pStyle w:val="sc-Requirement"/>
            </w:pPr>
            <w:r>
              <w:t>CYBF 610</w:t>
            </w:r>
          </w:p>
        </w:tc>
        <w:tc>
          <w:tcPr>
            <w:tcW w:w="4000" w:type="dxa"/>
          </w:tcPr>
          <w:p w:rsidR="00086C93" w:rsidRDefault="00086C93" w:rsidP="009E36D1">
            <w:pPr>
              <w:pStyle w:val="sc-Requirement"/>
            </w:pPr>
            <w:r>
              <w:t>Introduction to Forensic Analysis</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CYBF 643/FSIS 643</w:t>
            </w:r>
          </w:p>
        </w:tc>
        <w:tc>
          <w:tcPr>
            <w:tcW w:w="4000" w:type="dxa"/>
          </w:tcPr>
          <w:p w:rsidR="00086C93" w:rsidRDefault="00086C93" w:rsidP="009E36D1">
            <w:pPr>
              <w:pStyle w:val="sc-Requirement"/>
            </w:pPr>
            <w:r>
              <w:t>Incident Response and Evidence Collection</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CYBF 644/FSIS 644</w:t>
            </w:r>
          </w:p>
        </w:tc>
        <w:tc>
          <w:tcPr>
            <w:tcW w:w="4000" w:type="dxa"/>
          </w:tcPr>
          <w:p w:rsidR="00086C93" w:rsidRDefault="00086C93" w:rsidP="009E36D1">
            <w:pPr>
              <w:pStyle w:val="sc-Requirement"/>
            </w:pPr>
            <w:r>
              <w:t>Windows Forensic Examinations</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CYBF 662/FSIS 662</w:t>
            </w:r>
          </w:p>
        </w:tc>
        <w:tc>
          <w:tcPr>
            <w:tcW w:w="4000" w:type="dxa"/>
          </w:tcPr>
          <w:p w:rsidR="00086C93" w:rsidRDefault="00086C93" w:rsidP="009E36D1">
            <w:pPr>
              <w:pStyle w:val="sc-Requirement"/>
            </w:pPr>
            <w:r>
              <w:t>Network Penetration Testing</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CYBF 671</w:t>
            </w:r>
          </w:p>
        </w:tc>
        <w:tc>
          <w:tcPr>
            <w:tcW w:w="4000" w:type="dxa"/>
          </w:tcPr>
          <w:p w:rsidR="00086C93" w:rsidRDefault="00086C93" w:rsidP="009E36D1">
            <w:pPr>
              <w:pStyle w:val="sc-Requirement"/>
            </w:pPr>
            <w:r>
              <w:t>Cyber Hunting</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CYBF 680</w:t>
            </w:r>
          </w:p>
        </w:tc>
        <w:tc>
          <w:tcPr>
            <w:tcW w:w="4000" w:type="dxa"/>
          </w:tcPr>
          <w:p w:rsidR="00086C93" w:rsidRDefault="00086C93" w:rsidP="009E36D1">
            <w:pPr>
              <w:pStyle w:val="sc-Requirement"/>
            </w:pPr>
            <w:r>
              <w:t>Legal Compliance and Ethics</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CYBF 685</w:t>
            </w:r>
          </w:p>
        </w:tc>
        <w:tc>
          <w:tcPr>
            <w:tcW w:w="4000" w:type="dxa"/>
          </w:tcPr>
          <w:p w:rsidR="00086C93" w:rsidRDefault="00086C93" w:rsidP="009E36D1">
            <w:pPr>
              <w:pStyle w:val="sc-Requirement"/>
            </w:pPr>
            <w:r>
              <w:t>Malware Detection, Analysis, and Prevention</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CYBF 710</w:t>
            </w:r>
          </w:p>
        </w:tc>
        <w:tc>
          <w:tcPr>
            <w:tcW w:w="4000" w:type="dxa"/>
          </w:tcPr>
          <w:p w:rsidR="00086C93" w:rsidRDefault="00086C93" w:rsidP="009E36D1">
            <w:pPr>
              <w:pStyle w:val="sc-Requirement"/>
            </w:pPr>
            <w:r>
              <w:t>Mock Intrusion and Response</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FSIS 642</w:t>
            </w:r>
          </w:p>
        </w:tc>
        <w:tc>
          <w:tcPr>
            <w:tcW w:w="4000" w:type="dxa"/>
          </w:tcPr>
          <w:p w:rsidR="00086C93" w:rsidRDefault="00086C93" w:rsidP="009E36D1">
            <w:pPr>
              <w:pStyle w:val="sc-Requirement"/>
            </w:pPr>
            <w:r>
              <w:t>File Systems Forensic Analysis</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FSIS 646</w:t>
            </w:r>
          </w:p>
        </w:tc>
        <w:tc>
          <w:tcPr>
            <w:tcW w:w="4000" w:type="dxa"/>
          </w:tcPr>
          <w:p w:rsidR="00086C93" w:rsidRDefault="00086C93" w:rsidP="009E36D1">
            <w:pPr>
              <w:pStyle w:val="sc-Requirement"/>
            </w:pPr>
            <w:r>
              <w:t>Windows Intrusion Forensic Investigations</w:t>
            </w:r>
          </w:p>
        </w:tc>
        <w:tc>
          <w:tcPr>
            <w:tcW w:w="500" w:type="dxa"/>
          </w:tcPr>
          <w:p w:rsidR="00086C93" w:rsidRDefault="00086C93" w:rsidP="009E36D1">
            <w:pPr>
              <w:pStyle w:val="sc-RequirementRight"/>
            </w:pPr>
            <w:r>
              <w:t>3</w:t>
            </w:r>
          </w:p>
        </w:tc>
      </w:tr>
    </w:tbl>
    <w:p w:rsidR="00086C93" w:rsidRDefault="00086C93" w:rsidP="00086C93">
      <w:pPr>
        <w:pStyle w:val="sc-RequirementsSubheading"/>
      </w:pPr>
      <w:bookmarkStart w:id="7" w:name="E98A12AC67C941798D4165CB5DAB1FD8"/>
      <w:r>
        <w:t>Elective Courses: (Complete 6 credits)</w:t>
      </w:r>
      <w:bookmarkEnd w:id="7"/>
    </w:p>
    <w:tbl>
      <w:tblPr>
        <w:tblW w:w="0" w:type="auto"/>
        <w:tblLook w:val="04A0" w:firstRow="1" w:lastRow="0" w:firstColumn="1" w:lastColumn="0" w:noHBand="0" w:noVBand="1"/>
      </w:tblPr>
      <w:tblGrid>
        <w:gridCol w:w="1500"/>
        <w:gridCol w:w="4000"/>
        <w:gridCol w:w="500"/>
      </w:tblGrid>
      <w:tr w:rsidR="00086C93" w:rsidTr="009E36D1">
        <w:tc>
          <w:tcPr>
            <w:tcW w:w="1500" w:type="dxa"/>
          </w:tcPr>
          <w:p w:rsidR="00086C93" w:rsidRDefault="00086C93" w:rsidP="009E36D1">
            <w:pPr>
              <w:pStyle w:val="sc-Requirement"/>
            </w:pPr>
            <w:r>
              <w:t>CYBF 650/FSIS 650</w:t>
            </w:r>
          </w:p>
        </w:tc>
        <w:tc>
          <w:tcPr>
            <w:tcW w:w="4000" w:type="dxa"/>
          </w:tcPr>
          <w:p w:rsidR="00086C93" w:rsidRDefault="00086C93" w:rsidP="009E36D1">
            <w:pPr>
              <w:pStyle w:val="sc-Requirement"/>
            </w:pPr>
            <w:r>
              <w:t>Intrusion Detection Systems (IDS), Firewalls, Auditing</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CYBF 661/DTI 661</w:t>
            </w:r>
          </w:p>
        </w:tc>
        <w:tc>
          <w:tcPr>
            <w:tcW w:w="4000" w:type="dxa"/>
          </w:tcPr>
          <w:p w:rsidR="00086C93" w:rsidRDefault="00086C93" w:rsidP="009E36D1">
            <w:pPr>
              <w:pStyle w:val="sc-Requirement"/>
            </w:pPr>
            <w:r>
              <w:t>Cybersecurity Risk Mitigation Techniques</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CYBF 663/FSIS 663</w:t>
            </w:r>
          </w:p>
        </w:tc>
        <w:tc>
          <w:tcPr>
            <w:tcW w:w="4000" w:type="dxa"/>
          </w:tcPr>
          <w:p w:rsidR="00086C93" w:rsidRDefault="00086C93" w:rsidP="009E36D1">
            <w:pPr>
              <w:pStyle w:val="sc-Requirement"/>
            </w:pPr>
            <w:r>
              <w:t>Network and Cloud Forensics</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CYBF 670</w:t>
            </w:r>
          </w:p>
        </w:tc>
        <w:tc>
          <w:tcPr>
            <w:tcW w:w="4000" w:type="dxa"/>
          </w:tcPr>
          <w:p w:rsidR="00086C93" w:rsidRDefault="00086C93" w:rsidP="009E36D1">
            <w:pPr>
              <w:pStyle w:val="sc-Requirement"/>
            </w:pPr>
            <w:r>
              <w:t>Cyber Warfare and Cyber Terrorism</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FSEL 610</w:t>
            </w:r>
          </w:p>
        </w:tc>
        <w:tc>
          <w:tcPr>
            <w:tcW w:w="4000" w:type="dxa"/>
          </w:tcPr>
          <w:p w:rsidR="00086C93" w:rsidRDefault="00086C93" w:rsidP="009E36D1">
            <w:pPr>
              <w:pStyle w:val="sc-Requirement"/>
            </w:pPr>
            <w:r>
              <w:t>Advanced Electronic Discovery</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FSEL 630</w:t>
            </w:r>
          </w:p>
        </w:tc>
        <w:tc>
          <w:tcPr>
            <w:tcW w:w="4000" w:type="dxa"/>
          </w:tcPr>
          <w:p w:rsidR="00086C93" w:rsidRDefault="00086C93" w:rsidP="009E36D1">
            <w:pPr>
              <w:pStyle w:val="sc-Requirement"/>
            </w:pPr>
            <w:r>
              <w:t>Online Investigation: Strategy &amp; Techniques</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DTI 661/CYBF 661</w:t>
            </w:r>
          </w:p>
        </w:tc>
        <w:tc>
          <w:tcPr>
            <w:tcW w:w="4000" w:type="dxa"/>
          </w:tcPr>
          <w:p w:rsidR="00086C93" w:rsidRDefault="00086C93" w:rsidP="009E36D1">
            <w:pPr>
              <w:pStyle w:val="sc-Requirement"/>
            </w:pPr>
            <w:r>
              <w:t>Cybersecurity Risk Mitigation Techniques</w:t>
            </w:r>
          </w:p>
        </w:tc>
        <w:tc>
          <w:tcPr>
            <w:tcW w:w="500" w:type="dxa"/>
          </w:tcPr>
          <w:p w:rsidR="00086C93" w:rsidRDefault="00086C93" w:rsidP="009E36D1">
            <w:pPr>
              <w:pStyle w:val="sc-RequirementRight"/>
            </w:pPr>
            <w:r>
              <w:t>3</w:t>
            </w:r>
          </w:p>
        </w:tc>
      </w:tr>
      <w:tr w:rsidR="00086C93" w:rsidTr="009E36D1">
        <w:tc>
          <w:tcPr>
            <w:tcW w:w="1500" w:type="dxa"/>
          </w:tcPr>
          <w:p w:rsidR="00086C93" w:rsidRDefault="00086C93" w:rsidP="009E36D1">
            <w:pPr>
              <w:pStyle w:val="sc-Requirement"/>
            </w:pPr>
            <w:r>
              <w:t>GRAD 601</w:t>
            </w:r>
          </w:p>
        </w:tc>
        <w:tc>
          <w:tcPr>
            <w:tcW w:w="4000" w:type="dxa"/>
          </w:tcPr>
          <w:p w:rsidR="00086C93" w:rsidRDefault="00086C93" w:rsidP="009E36D1">
            <w:pPr>
              <w:pStyle w:val="sc-Requirement"/>
            </w:pPr>
            <w:r>
              <w:t>Residency Session I</w:t>
            </w:r>
          </w:p>
        </w:tc>
        <w:tc>
          <w:tcPr>
            <w:tcW w:w="500" w:type="dxa"/>
          </w:tcPr>
          <w:p w:rsidR="00086C93" w:rsidRDefault="00086C93" w:rsidP="009E36D1">
            <w:pPr>
              <w:pStyle w:val="sc-RequirementRight"/>
            </w:pPr>
            <w:r>
              <w:t>1</w:t>
            </w:r>
          </w:p>
        </w:tc>
      </w:tr>
      <w:tr w:rsidR="00086C93" w:rsidTr="009E36D1">
        <w:tc>
          <w:tcPr>
            <w:tcW w:w="1500" w:type="dxa"/>
          </w:tcPr>
          <w:p w:rsidR="00086C93" w:rsidRDefault="00086C93" w:rsidP="009E36D1">
            <w:pPr>
              <w:pStyle w:val="sc-Requirement"/>
            </w:pPr>
            <w:r>
              <w:t>GRAD 602</w:t>
            </w:r>
          </w:p>
        </w:tc>
        <w:tc>
          <w:tcPr>
            <w:tcW w:w="4000" w:type="dxa"/>
          </w:tcPr>
          <w:p w:rsidR="00086C93" w:rsidRDefault="00086C93" w:rsidP="009E36D1">
            <w:pPr>
              <w:pStyle w:val="sc-Requirement"/>
            </w:pPr>
            <w:r>
              <w:t>Residency Session II</w:t>
            </w:r>
          </w:p>
        </w:tc>
        <w:tc>
          <w:tcPr>
            <w:tcW w:w="500" w:type="dxa"/>
          </w:tcPr>
          <w:p w:rsidR="00086C93" w:rsidRDefault="00086C93" w:rsidP="009E36D1">
            <w:pPr>
              <w:pStyle w:val="sc-RequirementRight"/>
            </w:pPr>
            <w:r>
              <w:t>1</w:t>
            </w:r>
          </w:p>
        </w:tc>
      </w:tr>
      <w:tr w:rsidR="00086C93" w:rsidTr="009E36D1">
        <w:tc>
          <w:tcPr>
            <w:tcW w:w="1500" w:type="dxa"/>
          </w:tcPr>
          <w:p w:rsidR="00086C93" w:rsidRDefault="00086C93" w:rsidP="009E36D1">
            <w:pPr>
              <w:pStyle w:val="sc-Requirement"/>
            </w:pPr>
            <w:r>
              <w:t>GRAD 603</w:t>
            </w:r>
          </w:p>
        </w:tc>
        <w:tc>
          <w:tcPr>
            <w:tcW w:w="4000" w:type="dxa"/>
          </w:tcPr>
          <w:p w:rsidR="00086C93" w:rsidRDefault="00086C93" w:rsidP="009E36D1">
            <w:pPr>
              <w:pStyle w:val="sc-Requirement"/>
            </w:pPr>
            <w:r>
              <w:t>Residency Session III</w:t>
            </w:r>
          </w:p>
        </w:tc>
        <w:tc>
          <w:tcPr>
            <w:tcW w:w="500" w:type="dxa"/>
          </w:tcPr>
          <w:p w:rsidR="00086C93" w:rsidRDefault="00086C93" w:rsidP="009E36D1">
            <w:pPr>
              <w:pStyle w:val="sc-RequirementRight"/>
            </w:pPr>
            <w:r>
              <w:t>1</w:t>
            </w:r>
          </w:p>
        </w:tc>
      </w:tr>
    </w:tbl>
    <w:p w:rsidR="0017384A" w:rsidRDefault="0017384A"/>
    <w:sectPr w:rsidR="00173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bon LT">
    <w:altName w:val="Malgun Gothic"/>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Condensed">
    <w:altName w:val="Century Gothic"/>
    <w:panose1 w:val="00000000000000000000"/>
    <w:charset w:val="00"/>
    <w:family w:val="swiss"/>
    <w:notTrueType/>
    <w:pitch w:val="variable"/>
    <w:sig w:usb0="00000003" w:usb1="00000000" w:usb2="00000000" w:usb3="00000000" w:csb0="00000001" w:csb1="00000000"/>
  </w:font>
  <w:font w:name="Futura CondensedExtraBold">
    <w:altName w:val="Century Gothic"/>
    <w:panose1 w:val="00000000000000000000"/>
    <w:charset w:val="00"/>
    <w:family w:val="swiss"/>
    <w:notTrueType/>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93"/>
    <w:rsid w:val="00075D3C"/>
    <w:rsid w:val="00086C93"/>
    <w:rsid w:val="0017384A"/>
    <w:rsid w:val="0024086D"/>
    <w:rsid w:val="004E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A14F"/>
  <w15:chartTrackingRefBased/>
  <w15:docId w15:val="{020A034D-B865-48F1-9754-3B88BE45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C93"/>
    <w:pPr>
      <w:spacing w:after="0" w:line="240" w:lineRule="auto"/>
      <w:contextualSpacing/>
      <w:jc w:val="both"/>
    </w:pPr>
    <w:rPr>
      <w:rFonts w:ascii="Sabon LT" w:eastAsia="Times New Roman" w:hAnsi="Sabon LT" w:cs="Times New Roman"/>
      <w:sz w:val="18"/>
      <w:szCs w:val="24"/>
    </w:rPr>
  </w:style>
  <w:style w:type="paragraph" w:styleId="Heading1">
    <w:name w:val="heading 1"/>
    <w:basedOn w:val="Normal"/>
    <w:link w:val="Heading1Char"/>
    <w:uiPriority w:val="9"/>
    <w:qFormat/>
    <w:rsid w:val="0024086D"/>
    <w:pPr>
      <w:spacing w:before="100" w:beforeAutospacing="1" w:after="100" w:afterAutospacing="1"/>
      <w:contextualSpacing w:val="0"/>
      <w:jc w:val="left"/>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BodyText">
    <w:name w:val="sc-BodyText"/>
    <w:basedOn w:val="Normal"/>
    <w:rsid w:val="00086C93"/>
    <w:pPr>
      <w:spacing w:before="60" w:line="200" w:lineRule="exact"/>
      <w:contextualSpacing w:val="0"/>
      <w:jc w:val="left"/>
    </w:pPr>
  </w:style>
  <w:style w:type="paragraph" w:customStyle="1" w:styleId="sc-Requirement">
    <w:name w:val="sc-Requirement"/>
    <w:basedOn w:val="sc-BodyText"/>
    <w:qFormat/>
    <w:rsid w:val="00086C93"/>
    <w:pPr>
      <w:suppressAutoHyphens/>
      <w:spacing w:before="0"/>
    </w:pPr>
  </w:style>
  <w:style w:type="paragraph" w:customStyle="1" w:styleId="sc-RequirementRight">
    <w:name w:val="sc-RequirementRight"/>
    <w:basedOn w:val="sc-Requirement"/>
    <w:rsid w:val="00086C93"/>
    <w:pPr>
      <w:jc w:val="right"/>
    </w:pPr>
  </w:style>
  <w:style w:type="paragraph" w:customStyle="1" w:styleId="sc-RequirementsSubheading">
    <w:name w:val="sc-RequirementsSubheading"/>
    <w:basedOn w:val="Normal"/>
    <w:qFormat/>
    <w:rsid w:val="00086C93"/>
    <w:pPr>
      <w:widowControl w:val="0"/>
      <w:autoSpaceDE w:val="0"/>
      <w:autoSpaceDN w:val="0"/>
      <w:adjustRightInd w:val="0"/>
      <w:spacing w:before="60" w:line="220" w:lineRule="exact"/>
      <w:contextualSpacing w:val="0"/>
      <w:jc w:val="left"/>
    </w:pPr>
    <w:rPr>
      <w:rFonts w:eastAsiaTheme="minorEastAsia" w:cs="Arial"/>
      <w:b/>
      <w:bCs/>
      <w:i/>
      <w:color w:val="000000"/>
      <w:sz w:val="20"/>
      <w:szCs w:val="32"/>
    </w:rPr>
  </w:style>
  <w:style w:type="paragraph" w:customStyle="1" w:styleId="sc-RequirementsHeading">
    <w:name w:val="sc-RequirementsHeading"/>
    <w:basedOn w:val="Normal"/>
    <w:qFormat/>
    <w:rsid w:val="00086C93"/>
    <w:pPr>
      <w:keepNext/>
      <w:suppressAutoHyphens/>
      <w:autoSpaceDE w:val="0"/>
      <w:autoSpaceDN w:val="0"/>
      <w:adjustRightInd w:val="0"/>
      <w:spacing w:before="120" w:line="300" w:lineRule="exact"/>
      <w:contextualSpacing w:val="0"/>
      <w:jc w:val="left"/>
    </w:pPr>
    <w:rPr>
      <w:rFonts w:ascii="Futura Condensed" w:eastAsiaTheme="minorEastAsia" w:hAnsi="Futura Condensed" w:cs="Arial"/>
      <w:b/>
      <w:bCs/>
      <w:color w:val="000000"/>
      <w:sz w:val="24"/>
    </w:rPr>
  </w:style>
  <w:style w:type="paragraph" w:customStyle="1" w:styleId="sc-AwardHeading">
    <w:name w:val="sc-AwardHeading"/>
    <w:basedOn w:val="Normal"/>
    <w:qFormat/>
    <w:rsid w:val="00086C93"/>
    <w:pPr>
      <w:keepNext/>
      <w:keepLines/>
      <w:pBdr>
        <w:bottom w:val="single" w:sz="4" w:space="1" w:color="auto"/>
      </w:pBdr>
      <w:suppressAutoHyphens/>
      <w:spacing w:before="120" w:after="60" w:line="320" w:lineRule="exact"/>
      <w:contextualSpacing w:val="0"/>
      <w:jc w:val="left"/>
    </w:pPr>
    <w:rPr>
      <w:rFonts w:ascii="Futura CondensedExtraBold" w:hAnsi="Futura CondensedExtraBold" w:cs="Adobe Garamond Pro Bold"/>
      <w:b/>
      <w:bCs/>
      <w:sz w:val="28"/>
      <w:szCs w:val="28"/>
    </w:rPr>
  </w:style>
  <w:style w:type="paragraph" w:customStyle="1" w:styleId="sc-List-1">
    <w:name w:val="sc-List-1"/>
    <w:basedOn w:val="sc-BodyText"/>
    <w:qFormat/>
    <w:rsid w:val="00086C93"/>
    <w:pPr>
      <w:ind w:left="288" w:hanging="288"/>
    </w:pPr>
  </w:style>
  <w:style w:type="character" w:customStyle="1" w:styleId="Heading1Char">
    <w:name w:val="Heading 1 Char"/>
    <w:basedOn w:val="DefaultParagraphFont"/>
    <w:link w:val="Heading1"/>
    <w:uiPriority w:val="9"/>
    <w:rsid w:val="0024086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4086D"/>
    <w:rPr>
      <w:color w:val="0000FF"/>
      <w:u w:val="single"/>
    </w:rPr>
  </w:style>
  <w:style w:type="character" w:styleId="UnresolvedMention">
    <w:name w:val="Unresolved Mention"/>
    <w:basedOn w:val="DefaultParagraphFont"/>
    <w:uiPriority w:val="99"/>
    <w:semiHidden/>
    <w:unhideWhenUsed/>
    <w:rsid w:val="00240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evenson.smartcatalogiq.com/2025-2026/stevenson-university-undergraduate-catalog/fields-of-study/cybersecurity-and-digital-foren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M. Parrish</dc:creator>
  <cp:keywords/>
  <dc:description/>
  <cp:lastModifiedBy>Bernadette M. Parrish</cp:lastModifiedBy>
  <cp:revision>2</cp:revision>
  <dcterms:created xsi:type="dcterms:W3CDTF">2026-02-18T15:00:00Z</dcterms:created>
  <dcterms:modified xsi:type="dcterms:W3CDTF">2026-02-18T15:13:00Z</dcterms:modified>
</cp:coreProperties>
</file>